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2B" w:rsidRDefault="00873FD0" w:rsidP="00B437D2">
      <w:pPr>
        <w:ind w:left="720"/>
      </w:pPr>
      <w:r>
        <w:t>Kính gửi ông Nguyễn Văn Thành</w:t>
      </w:r>
    </w:p>
    <w:p w:rsidR="00873FD0" w:rsidRDefault="00A16083" w:rsidP="00B437D2">
      <w:pPr>
        <w:ind w:left="720"/>
      </w:pPr>
      <w:r>
        <w:t>Về vấn đề này, Chi cục Thuế TP. Quy Nhơn có ý kiến trả lời như sau:</w:t>
      </w:r>
    </w:p>
    <w:p w:rsidR="00A16083" w:rsidRDefault="00A16083" w:rsidP="00A16083">
      <w:pPr>
        <w:spacing w:before="120" w:after="0" w:line="240" w:lineRule="auto"/>
        <w:ind w:firstLine="720"/>
        <w:jc w:val="both"/>
        <w:rPr>
          <w:szCs w:val="28"/>
        </w:rPr>
      </w:pPr>
      <w:r>
        <w:rPr>
          <w:szCs w:val="28"/>
        </w:rPr>
        <w:t xml:space="preserve">Tại Điểm e Khoản 4, Điều 8, Nghị định 126/2020/NĐ-CP ngày 19/10/2020 của Chính phủ quy định chi tiết một số điều của Luật Quản lý Thuế có quy định: </w:t>
      </w:r>
    </w:p>
    <w:p w:rsidR="00A16083" w:rsidRPr="002C6CB9" w:rsidRDefault="00A16083" w:rsidP="00A16083">
      <w:pPr>
        <w:spacing w:before="120" w:after="0" w:line="240" w:lineRule="auto"/>
        <w:ind w:firstLine="720"/>
        <w:jc w:val="both"/>
        <w:rPr>
          <w:i/>
          <w:szCs w:val="28"/>
        </w:rPr>
      </w:pPr>
      <w:r w:rsidRPr="002C6CB9">
        <w:rPr>
          <w:i/>
          <w:szCs w:val="28"/>
        </w:rPr>
        <w:t>“4. Các loại thuế, khoản thu khác thuộc ngân sách nhà nước khai theo từng lần phát sinh, bao gồm:</w:t>
      </w:r>
    </w:p>
    <w:p w:rsidR="00A16083" w:rsidRPr="002C6CB9" w:rsidRDefault="00A16083" w:rsidP="00A16083">
      <w:pPr>
        <w:spacing w:before="120" w:after="0" w:line="240" w:lineRule="auto"/>
        <w:ind w:firstLine="720"/>
        <w:jc w:val="both"/>
        <w:rPr>
          <w:i/>
          <w:szCs w:val="28"/>
        </w:rPr>
      </w:pPr>
      <w:r w:rsidRPr="002C6CB9">
        <w:rPr>
          <w:i/>
          <w:szCs w:val="28"/>
        </w:rPr>
        <w:t>…</w:t>
      </w:r>
    </w:p>
    <w:p w:rsidR="00A16083" w:rsidRDefault="00A16083" w:rsidP="00A16083">
      <w:pPr>
        <w:spacing w:before="120" w:after="0" w:line="240" w:lineRule="auto"/>
        <w:ind w:firstLine="720"/>
        <w:jc w:val="both"/>
        <w:rPr>
          <w:i/>
          <w:szCs w:val="28"/>
        </w:rPr>
      </w:pPr>
      <w:r w:rsidRPr="002C6CB9">
        <w:rPr>
          <w:i/>
          <w:szCs w:val="28"/>
        </w:rPr>
        <w:t>e) Thuế thu nhập doanh nghiệp đối với hoạt động chuyển nhượng bất động sản của người nộp thuế áp dụng theo phương pháp tỷ lệ trên doanh thu theo quy định của pháp luật về thuế thu nhập doanh nghiệp.”</w:t>
      </w:r>
    </w:p>
    <w:p w:rsidR="00A16083" w:rsidRDefault="00A16083" w:rsidP="00A16083">
      <w:pPr>
        <w:spacing w:before="120" w:after="0" w:line="240" w:lineRule="auto"/>
        <w:ind w:firstLine="720"/>
        <w:jc w:val="both"/>
        <w:rPr>
          <w:szCs w:val="28"/>
        </w:rPr>
      </w:pPr>
      <w:r>
        <w:rPr>
          <w:szCs w:val="28"/>
        </w:rPr>
        <w:t xml:space="preserve">Tại Khoản 2, Điều 13, Nghị định 126/2020/NĐ-CP ngày 19/10/2020 của Chính phủ quy định chi tiết một số điều của Luật Quản lý Thuế có quy định: </w:t>
      </w:r>
    </w:p>
    <w:p w:rsidR="00A16083" w:rsidRPr="00230B51" w:rsidRDefault="00A16083" w:rsidP="00A16083">
      <w:pPr>
        <w:spacing w:before="120" w:after="0" w:line="240" w:lineRule="auto"/>
        <w:ind w:firstLine="720"/>
        <w:jc w:val="both"/>
        <w:rPr>
          <w:i/>
          <w:szCs w:val="28"/>
        </w:rPr>
      </w:pPr>
      <w:r>
        <w:rPr>
          <w:i/>
          <w:szCs w:val="28"/>
        </w:rPr>
        <w:t>“</w:t>
      </w:r>
      <w:r w:rsidRPr="00230B51">
        <w:rPr>
          <w:i/>
          <w:szCs w:val="28"/>
        </w:rPr>
        <w:t>2. Trường hợp cơ quan thuế tính thuế, thông báo số tiền thuế phải nộp theo hồ sơ xác định nghĩa vụ tài chính do cơ quan quản lý nhà nước có thẩm quyền chuyển đến, cụ thể như sau:</w:t>
      </w:r>
    </w:p>
    <w:p w:rsidR="00A16083" w:rsidRPr="00230B51" w:rsidRDefault="00A16083" w:rsidP="00A16083">
      <w:pPr>
        <w:spacing w:before="120" w:after="0" w:line="240" w:lineRule="auto"/>
        <w:ind w:firstLine="720"/>
        <w:jc w:val="both"/>
        <w:rPr>
          <w:i/>
          <w:szCs w:val="28"/>
        </w:rPr>
      </w:pPr>
      <w:r w:rsidRPr="00230B51">
        <w:rPr>
          <w:i/>
          <w:szCs w:val="28"/>
        </w:rPr>
        <w:t>a) Thuế thu nhập cá nhân từ chuyển nhượng bất động sản; từ nhận thừa kế, quà tặng là bất động sản (áp dụng đối với trường hợp quy định tại điểm đ.1 khoản 7 Điều 11 Nghị định này) và lệ phí trước bạ nhà, đất.</w:t>
      </w:r>
    </w:p>
    <w:p w:rsidR="00A16083" w:rsidRPr="00230B51" w:rsidRDefault="00A16083" w:rsidP="00A16083">
      <w:pPr>
        <w:spacing w:before="120" w:after="0" w:line="240" w:lineRule="auto"/>
        <w:ind w:firstLine="720"/>
        <w:jc w:val="both"/>
        <w:rPr>
          <w:i/>
          <w:szCs w:val="28"/>
        </w:rPr>
      </w:pPr>
      <w:r w:rsidRPr="00230B51">
        <w:rPr>
          <w:i/>
          <w:szCs w:val="28"/>
        </w:rPr>
        <w:t>b) Tiền sử dụng đất (trừ tiền sử dụng đất phát sinh trong khu kinh tế, khu công nghệ cao).</w:t>
      </w:r>
    </w:p>
    <w:p w:rsidR="00A16083" w:rsidRPr="002C6CB9" w:rsidRDefault="00A16083" w:rsidP="00A16083">
      <w:pPr>
        <w:spacing w:before="120" w:after="0" w:line="240" w:lineRule="auto"/>
        <w:ind w:firstLine="720"/>
        <w:jc w:val="both"/>
        <w:rPr>
          <w:i/>
          <w:szCs w:val="28"/>
        </w:rPr>
      </w:pPr>
      <w:r w:rsidRPr="00230B51">
        <w:rPr>
          <w:i/>
          <w:szCs w:val="28"/>
        </w:rPr>
        <w:t>c) Tiền thuê đất, thuê mặt nước (trừ tiền thuê đất, thuê mặt nước phát sinh trong khu kinh tế, khu công nghệ cao).</w:t>
      </w:r>
      <w:r>
        <w:rPr>
          <w:i/>
          <w:szCs w:val="28"/>
        </w:rPr>
        <w:t>”</w:t>
      </w:r>
    </w:p>
    <w:p w:rsidR="00A16083" w:rsidRPr="00230B51" w:rsidRDefault="00A16083" w:rsidP="00A16083">
      <w:pPr>
        <w:spacing w:before="120" w:after="0" w:line="240" w:lineRule="auto"/>
        <w:ind w:firstLine="720"/>
        <w:jc w:val="both"/>
        <w:rPr>
          <w:szCs w:val="28"/>
        </w:rPr>
      </w:pPr>
      <w:r>
        <w:rPr>
          <w:szCs w:val="28"/>
        </w:rPr>
        <w:t>(</w:t>
      </w:r>
      <w:r w:rsidRPr="00230B51">
        <w:rPr>
          <w:szCs w:val="28"/>
        </w:rPr>
        <w:t xml:space="preserve">Trước đây tại Điểm b, Khoản 4, Điều 16, Thông tư số 151/2014/TT-BTC ngày 10/10/2014 quy định: </w:t>
      </w:r>
    </w:p>
    <w:p w:rsidR="00A16083" w:rsidRPr="00230B51" w:rsidRDefault="00A16083" w:rsidP="00A16083">
      <w:pPr>
        <w:spacing w:before="120" w:after="0" w:line="240" w:lineRule="auto"/>
        <w:ind w:firstLine="720"/>
        <w:jc w:val="both"/>
        <w:rPr>
          <w:i/>
          <w:szCs w:val="28"/>
        </w:rPr>
      </w:pPr>
      <w:bookmarkStart w:id="0" w:name="dieu_16"/>
      <w:r w:rsidRPr="00230B51">
        <w:rPr>
          <w:i/>
          <w:szCs w:val="28"/>
        </w:rPr>
        <w:t>“</w:t>
      </w:r>
      <w:bookmarkEnd w:id="0"/>
      <w:r w:rsidRPr="00230B51">
        <w:rPr>
          <w:i/>
          <w:szCs w:val="28"/>
        </w:rPr>
        <w:t>…</w:t>
      </w:r>
    </w:p>
    <w:p w:rsidR="00A16083" w:rsidRPr="00230B51" w:rsidRDefault="00A16083" w:rsidP="00A16083">
      <w:pPr>
        <w:spacing w:before="120" w:after="0" w:line="240" w:lineRule="auto"/>
        <w:ind w:firstLine="720"/>
        <w:jc w:val="both"/>
        <w:rPr>
          <w:i/>
          <w:szCs w:val="28"/>
        </w:rPr>
      </w:pPr>
      <w:r w:rsidRPr="00230B51">
        <w:rPr>
          <w:i/>
          <w:szCs w:val="28"/>
        </w:rPr>
        <w:t>4. Khai thuế thu nhập doanh nghiệp đối với hoạt động chuyển nhượng bất động sản theo quy định của pháp luật về thuế thu nhập doanh nghiệp</w:t>
      </w:r>
    </w:p>
    <w:p w:rsidR="00A16083" w:rsidRPr="00230B51" w:rsidRDefault="00A16083" w:rsidP="00A16083">
      <w:pPr>
        <w:spacing w:before="120" w:after="0" w:line="240" w:lineRule="auto"/>
        <w:ind w:firstLine="720"/>
        <w:jc w:val="both"/>
        <w:rPr>
          <w:i/>
          <w:szCs w:val="28"/>
        </w:rPr>
      </w:pPr>
      <w:r w:rsidRPr="00230B51">
        <w:rPr>
          <w:i/>
          <w:szCs w:val="28"/>
        </w:rPr>
        <w:t>b) Doanh nghiệp không phát sinh thường xuyên hoạt động chuyển nhượng bất động sản thực hiện khai thuế thu nhập doanh nghiệp tạm tính theo từng lần phát sinh chuyển nhượng bất động sản. Doanh nghiệp không phát sinh thường xuyên hoạt động chuyển nhượng bất động sản là doanh nghiệp không có chức năng kinh doanh bất động sản.</w:t>
      </w:r>
    </w:p>
    <w:p w:rsidR="00A16083" w:rsidRPr="00230B51" w:rsidRDefault="00A16083" w:rsidP="00A16083">
      <w:pPr>
        <w:spacing w:before="120" w:after="0" w:line="240" w:lineRule="auto"/>
        <w:ind w:firstLine="720"/>
        <w:jc w:val="both"/>
        <w:rPr>
          <w:i/>
          <w:szCs w:val="28"/>
        </w:rPr>
      </w:pPr>
      <w:r w:rsidRPr="00230B51">
        <w:rPr>
          <w:i/>
          <w:szCs w:val="28"/>
        </w:rPr>
        <w:t>Hồ sơ khai thuế thu nhập doanh nghiệp theo từng lần chuyển nhượng bất động sản là Tờ khai thuế thu nhập từ chuyển nhượng bất động sản theo mẫu số 02/TNDN ban hành kèm theo Thông tư này.</w:t>
      </w:r>
    </w:p>
    <w:p w:rsidR="00A16083" w:rsidRDefault="00A16083" w:rsidP="00A16083">
      <w:pPr>
        <w:spacing w:before="120" w:after="0" w:line="240" w:lineRule="auto"/>
        <w:ind w:firstLine="720"/>
        <w:jc w:val="both"/>
        <w:rPr>
          <w:i/>
          <w:szCs w:val="28"/>
        </w:rPr>
      </w:pPr>
      <w:r w:rsidRPr="00230B51">
        <w:rPr>
          <w:i/>
          <w:szCs w:val="28"/>
        </w:rPr>
        <w:t>…”</w:t>
      </w:r>
      <w:r>
        <w:rPr>
          <w:i/>
          <w:szCs w:val="28"/>
        </w:rPr>
        <w:t>)</w:t>
      </w:r>
    </w:p>
    <w:p w:rsidR="00A16083" w:rsidRDefault="00A16083" w:rsidP="00A16083">
      <w:pPr>
        <w:spacing w:before="120" w:after="0" w:line="240" w:lineRule="auto"/>
        <w:ind w:firstLine="720"/>
        <w:jc w:val="both"/>
        <w:rPr>
          <w:szCs w:val="28"/>
        </w:rPr>
      </w:pPr>
      <w:r w:rsidRPr="00230B51">
        <w:rPr>
          <w:szCs w:val="28"/>
        </w:rPr>
        <w:t>Như vậy</w:t>
      </w:r>
      <w:r>
        <w:rPr>
          <w:szCs w:val="28"/>
        </w:rPr>
        <w:t>,</w:t>
      </w:r>
      <w:r w:rsidRPr="00230B51">
        <w:rPr>
          <w:szCs w:val="28"/>
        </w:rPr>
        <w:t xml:space="preserve"> đối với trường hợp</w:t>
      </w:r>
      <w:r>
        <w:rPr>
          <w:i/>
          <w:szCs w:val="28"/>
        </w:rPr>
        <w:t xml:space="preserve"> </w:t>
      </w:r>
      <w:r>
        <w:rPr>
          <w:szCs w:val="28"/>
        </w:rPr>
        <w:t xml:space="preserve">Công ty TNHH </w:t>
      </w:r>
      <w:r>
        <w:rPr>
          <w:szCs w:val="28"/>
        </w:rPr>
        <w:t xml:space="preserve">Xây dựng và Vận tải Cơ giới Duy Anh, MST: 4101601484 </w:t>
      </w:r>
      <w:r>
        <w:rPr>
          <w:szCs w:val="28"/>
        </w:rPr>
        <w:t xml:space="preserve">hiện đang </w:t>
      </w:r>
      <w:r>
        <w:rPr>
          <w:szCs w:val="28"/>
        </w:rPr>
        <w:t>chuyển nhượng tài sản (hình thành tương lai) cho ông Nguyễn Văn Thành thì</w:t>
      </w:r>
      <w:r>
        <w:rPr>
          <w:szCs w:val="28"/>
        </w:rPr>
        <w:t xml:space="preserve"> không thuộc trường hợp khai thuế thu nhập doanh nghiệp theo từng lần phát sinh đối với hoạt động chuyển nhượng bất động </w:t>
      </w:r>
      <w:r w:rsidRPr="002256EB">
        <w:rPr>
          <w:szCs w:val="28"/>
        </w:rPr>
        <w:t xml:space="preserve">sản và Cơ quan Thuế không phải ban hành Thông báo nộp thuế </w:t>
      </w:r>
      <w:r>
        <w:rPr>
          <w:szCs w:val="28"/>
        </w:rPr>
        <w:t xml:space="preserve">thu nhập doanh nghiệp </w:t>
      </w:r>
      <w:r w:rsidRPr="002256EB">
        <w:rPr>
          <w:szCs w:val="28"/>
        </w:rPr>
        <w:t>đối với trường hợp này.</w:t>
      </w:r>
      <w:r>
        <w:rPr>
          <w:szCs w:val="28"/>
        </w:rPr>
        <w:t xml:space="preserve"> Công ty TNHH Xây dựng và Vận tải Cơ giới Duy Anh</w:t>
      </w:r>
      <w:r>
        <w:rPr>
          <w:szCs w:val="28"/>
        </w:rPr>
        <w:t xml:space="preserve"> </w:t>
      </w:r>
      <w:r w:rsidRPr="002256EB">
        <w:rPr>
          <w:szCs w:val="28"/>
        </w:rPr>
        <w:t xml:space="preserve">phải tự xác định số thuế thu nhập doanh nghiệp tạm nộp quý </w:t>
      </w:r>
      <w:r>
        <w:rPr>
          <w:szCs w:val="28"/>
        </w:rPr>
        <w:t>và</w:t>
      </w:r>
      <w:r w:rsidRPr="002256EB">
        <w:rPr>
          <w:szCs w:val="28"/>
        </w:rPr>
        <w:t xml:space="preserve"> được trừ số thuế đã tạm nộp với số phải nộp theo quyết toán thuế năm.</w:t>
      </w:r>
    </w:p>
    <w:p w:rsidR="00B12647" w:rsidRDefault="00A16083" w:rsidP="00A16083">
      <w:pPr>
        <w:spacing w:before="120" w:after="0" w:line="240" w:lineRule="auto"/>
        <w:ind w:firstLine="720"/>
        <w:jc w:val="both"/>
        <w:rPr>
          <w:szCs w:val="28"/>
        </w:rPr>
      </w:pPr>
      <w:r>
        <w:rPr>
          <w:szCs w:val="28"/>
        </w:rPr>
        <w:lastRenderedPageBreak/>
        <w:t xml:space="preserve">Đối với Thuế GTGT, Công ty xuất hóa đơn trong tháng 09/2023, thuộc kỳ kê khai thuế GTGT quý III/2023, thời hạn kê khai chậm nhất là ngày 31/10/2023. </w:t>
      </w:r>
    </w:p>
    <w:p w:rsidR="00A16083" w:rsidRDefault="00B12647" w:rsidP="00A16083">
      <w:pPr>
        <w:spacing w:before="120" w:after="0" w:line="240" w:lineRule="auto"/>
        <w:ind w:firstLine="720"/>
        <w:jc w:val="both"/>
        <w:rPr>
          <w:szCs w:val="28"/>
        </w:rPr>
      </w:pPr>
      <w:r>
        <w:rPr>
          <w:szCs w:val="28"/>
        </w:rPr>
        <w:t>Tính đến ngày 24/10/2023</w:t>
      </w:r>
      <w:r w:rsidR="00A16083">
        <w:rPr>
          <w:szCs w:val="28"/>
        </w:rPr>
        <w:t xml:space="preserve">, Công ty TNHH Xây dựng và Vận tải Cơ giới Duy Anh đang còn </w:t>
      </w:r>
      <w:r w:rsidR="00B437D2">
        <w:rPr>
          <w:szCs w:val="28"/>
        </w:rPr>
        <w:t>số thuế phải nộp quá thời hạn quy định</w:t>
      </w:r>
      <w:r w:rsidR="00A16083">
        <w:rPr>
          <w:szCs w:val="28"/>
        </w:rPr>
        <w:t xml:space="preserve">, cụ thể: </w:t>
      </w:r>
    </w:p>
    <w:tbl>
      <w:tblPr>
        <w:tblStyle w:val="TableGrid"/>
        <w:tblW w:w="0" w:type="auto"/>
        <w:tblInd w:w="1345" w:type="dxa"/>
        <w:tblLook w:val="04A0" w:firstRow="1" w:lastRow="0" w:firstColumn="1" w:lastColumn="0" w:noHBand="0" w:noVBand="1"/>
      </w:tblPr>
      <w:tblGrid>
        <w:gridCol w:w="720"/>
        <w:gridCol w:w="2609"/>
        <w:gridCol w:w="1711"/>
        <w:gridCol w:w="1980"/>
      </w:tblGrid>
      <w:tr w:rsidR="00A16083" w:rsidTr="00B12647">
        <w:tc>
          <w:tcPr>
            <w:tcW w:w="720" w:type="dxa"/>
          </w:tcPr>
          <w:p w:rsidR="00A16083" w:rsidRPr="00A16083" w:rsidRDefault="00A16083" w:rsidP="00A16083">
            <w:pPr>
              <w:spacing w:before="120"/>
              <w:jc w:val="center"/>
              <w:rPr>
                <w:b/>
                <w:szCs w:val="28"/>
              </w:rPr>
            </w:pPr>
            <w:r w:rsidRPr="00A16083">
              <w:rPr>
                <w:b/>
                <w:szCs w:val="28"/>
              </w:rPr>
              <w:t>STT</w:t>
            </w:r>
          </w:p>
        </w:tc>
        <w:tc>
          <w:tcPr>
            <w:tcW w:w="2609" w:type="dxa"/>
          </w:tcPr>
          <w:p w:rsidR="00A16083" w:rsidRPr="00A16083" w:rsidRDefault="00A16083" w:rsidP="00A16083">
            <w:pPr>
              <w:spacing w:before="120"/>
              <w:jc w:val="center"/>
              <w:rPr>
                <w:b/>
                <w:szCs w:val="28"/>
              </w:rPr>
            </w:pPr>
            <w:r w:rsidRPr="00A16083">
              <w:rPr>
                <w:b/>
                <w:szCs w:val="28"/>
              </w:rPr>
              <w:t>Loại tiền thuế, tiền phạt</w:t>
            </w:r>
          </w:p>
        </w:tc>
        <w:tc>
          <w:tcPr>
            <w:tcW w:w="1711" w:type="dxa"/>
          </w:tcPr>
          <w:p w:rsidR="00A16083" w:rsidRPr="00A16083" w:rsidRDefault="00A16083" w:rsidP="00A16083">
            <w:pPr>
              <w:spacing w:before="120"/>
              <w:jc w:val="center"/>
              <w:rPr>
                <w:b/>
                <w:szCs w:val="28"/>
              </w:rPr>
            </w:pPr>
            <w:r w:rsidRPr="00A16083">
              <w:rPr>
                <w:b/>
                <w:szCs w:val="28"/>
              </w:rPr>
              <w:t>Mã Tiểu mục</w:t>
            </w:r>
          </w:p>
        </w:tc>
        <w:tc>
          <w:tcPr>
            <w:tcW w:w="1980" w:type="dxa"/>
          </w:tcPr>
          <w:p w:rsidR="00A16083" w:rsidRPr="00A16083" w:rsidRDefault="00A16083" w:rsidP="00A16083">
            <w:pPr>
              <w:spacing w:before="120"/>
              <w:jc w:val="center"/>
              <w:rPr>
                <w:b/>
                <w:szCs w:val="28"/>
              </w:rPr>
            </w:pPr>
            <w:r w:rsidRPr="00A16083">
              <w:rPr>
                <w:b/>
                <w:szCs w:val="28"/>
              </w:rPr>
              <w:t>Số tiền nợ</w:t>
            </w:r>
          </w:p>
        </w:tc>
      </w:tr>
      <w:tr w:rsidR="00A16083" w:rsidTr="00B12647">
        <w:tc>
          <w:tcPr>
            <w:tcW w:w="720" w:type="dxa"/>
          </w:tcPr>
          <w:p w:rsidR="00A16083" w:rsidRPr="00A16083" w:rsidRDefault="00A16083" w:rsidP="00A16083">
            <w:pPr>
              <w:spacing w:before="120"/>
              <w:jc w:val="center"/>
              <w:rPr>
                <w:b/>
                <w:szCs w:val="28"/>
              </w:rPr>
            </w:pPr>
            <w:r w:rsidRPr="00A16083">
              <w:rPr>
                <w:b/>
                <w:szCs w:val="28"/>
              </w:rPr>
              <w:t>1</w:t>
            </w:r>
          </w:p>
        </w:tc>
        <w:tc>
          <w:tcPr>
            <w:tcW w:w="2609" w:type="dxa"/>
          </w:tcPr>
          <w:p w:rsidR="00A16083" w:rsidRPr="00A16083" w:rsidRDefault="00A16083" w:rsidP="00A16083">
            <w:pPr>
              <w:spacing w:before="120"/>
              <w:jc w:val="both"/>
              <w:rPr>
                <w:szCs w:val="28"/>
              </w:rPr>
            </w:pPr>
            <w:r w:rsidRPr="00A16083">
              <w:rPr>
                <w:szCs w:val="28"/>
              </w:rPr>
              <w:t>Lệ phí Môn bài</w:t>
            </w:r>
          </w:p>
        </w:tc>
        <w:tc>
          <w:tcPr>
            <w:tcW w:w="1711" w:type="dxa"/>
          </w:tcPr>
          <w:p w:rsidR="00A16083" w:rsidRPr="00A16083" w:rsidRDefault="00A16083" w:rsidP="00B12647">
            <w:pPr>
              <w:spacing w:before="120"/>
              <w:jc w:val="center"/>
              <w:rPr>
                <w:szCs w:val="28"/>
              </w:rPr>
            </w:pPr>
            <w:r w:rsidRPr="00A16083">
              <w:rPr>
                <w:szCs w:val="28"/>
              </w:rPr>
              <w:t>2863</w:t>
            </w:r>
          </w:p>
        </w:tc>
        <w:tc>
          <w:tcPr>
            <w:tcW w:w="1980" w:type="dxa"/>
          </w:tcPr>
          <w:p w:rsidR="00A16083" w:rsidRPr="00A16083" w:rsidRDefault="00A16083" w:rsidP="00A16083">
            <w:pPr>
              <w:spacing w:before="120"/>
              <w:jc w:val="right"/>
              <w:rPr>
                <w:szCs w:val="28"/>
              </w:rPr>
            </w:pPr>
            <w:r w:rsidRPr="00A16083">
              <w:rPr>
                <w:szCs w:val="28"/>
              </w:rPr>
              <w:t>2.000.000</w:t>
            </w:r>
          </w:p>
        </w:tc>
      </w:tr>
      <w:tr w:rsidR="00A16083" w:rsidTr="00B12647">
        <w:tc>
          <w:tcPr>
            <w:tcW w:w="720" w:type="dxa"/>
          </w:tcPr>
          <w:p w:rsidR="00A16083" w:rsidRPr="00A16083" w:rsidRDefault="00A16083" w:rsidP="00A16083">
            <w:pPr>
              <w:spacing w:before="120"/>
              <w:jc w:val="center"/>
              <w:rPr>
                <w:b/>
                <w:szCs w:val="28"/>
              </w:rPr>
            </w:pPr>
            <w:r w:rsidRPr="00A16083">
              <w:rPr>
                <w:b/>
                <w:szCs w:val="28"/>
              </w:rPr>
              <w:t>2</w:t>
            </w:r>
          </w:p>
        </w:tc>
        <w:tc>
          <w:tcPr>
            <w:tcW w:w="2609" w:type="dxa"/>
          </w:tcPr>
          <w:p w:rsidR="00A16083" w:rsidRPr="00A16083" w:rsidRDefault="00A16083" w:rsidP="00A16083">
            <w:pPr>
              <w:spacing w:before="120"/>
              <w:jc w:val="both"/>
              <w:rPr>
                <w:szCs w:val="28"/>
              </w:rPr>
            </w:pPr>
            <w:r w:rsidRPr="00A16083">
              <w:rPr>
                <w:szCs w:val="28"/>
              </w:rPr>
              <w:t>Thuế giá trị gia tăng</w:t>
            </w:r>
          </w:p>
        </w:tc>
        <w:tc>
          <w:tcPr>
            <w:tcW w:w="1711" w:type="dxa"/>
          </w:tcPr>
          <w:p w:rsidR="00A16083" w:rsidRPr="00A16083" w:rsidRDefault="00A16083" w:rsidP="00B12647">
            <w:pPr>
              <w:spacing w:before="120"/>
              <w:jc w:val="center"/>
              <w:rPr>
                <w:szCs w:val="28"/>
              </w:rPr>
            </w:pPr>
            <w:r w:rsidRPr="00A16083">
              <w:rPr>
                <w:szCs w:val="28"/>
              </w:rPr>
              <w:t>1701</w:t>
            </w:r>
          </w:p>
        </w:tc>
        <w:tc>
          <w:tcPr>
            <w:tcW w:w="1980" w:type="dxa"/>
          </w:tcPr>
          <w:p w:rsidR="00A16083" w:rsidRPr="00A16083" w:rsidRDefault="00A16083" w:rsidP="00A16083">
            <w:pPr>
              <w:spacing w:before="120"/>
              <w:jc w:val="right"/>
              <w:rPr>
                <w:szCs w:val="28"/>
              </w:rPr>
            </w:pPr>
            <w:r w:rsidRPr="00A16083">
              <w:rPr>
                <w:szCs w:val="28"/>
              </w:rPr>
              <w:t>227.886.221</w:t>
            </w:r>
          </w:p>
        </w:tc>
      </w:tr>
      <w:tr w:rsidR="00A16083" w:rsidTr="00B12647">
        <w:tc>
          <w:tcPr>
            <w:tcW w:w="720" w:type="dxa"/>
          </w:tcPr>
          <w:p w:rsidR="00A16083" w:rsidRPr="00A16083" w:rsidRDefault="00A16083" w:rsidP="00A16083">
            <w:pPr>
              <w:spacing w:before="120"/>
              <w:jc w:val="center"/>
              <w:rPr>
                <w:b/>
                <w:szCs w:val="28"/>
              </w:rPr>
            </w:pPr>
            <w:r w:rsidRPr="00A16083">
              <w:rPr>
                <w:b/>
                <w:szCs w:val="28"/>
              </w:rPr>
              <w:t>3</w:t>
            </w:r>
          </w:p>
        </w:tc>
        <w:tc>
          <w:tcPr>
            <w:tcW w:w="2609" w:type="dxa"/>
          </w:tcPr>
          <w:p w:rsidR="00A16083" w:rsidRPr="00A16083" w:rsidRDefault="00A16083" w:rsidP="00A16083">
            <w:pPr>
              <w:spacing w:before="120"/>
              <w:jc w:val="both"/>
              <w:rPr>
                <w:szCs w:val="28"/>
              </w:rPr>
            </w:pPr>
            <w:r w:rsidRPr="00A16083">
              <w:rPr>
                <w:szCs w:val="28"/>
              </w:rPr>
              <w:t>Tiền chậm nộp</w:t>
            </w:r>
          </w:p>
        </w:tc>
        <w:tc>
          <w:tcPr>
            <w:tcW w:w="1711" w:type="dxa"/>
          </w:tcPr>
          <w:p w:rsidR="00A16083" w:rsidRPr="00A16083" w:rsidRDefault="00A16083" w:rsidP="00B12647">
            <w:pPr>
              <w:spacing w:before="120"/>
              <w:jc w:val="center"/>
              <w:rPr>
                <w:szCs w:val="28"/>
              </w:rPr>
            </w:pPr>
            <w:r w:rsidRPr="00A16083">
              <w:rPr>
                <w:szCs w:val="28"/>
              </w:rPr>
              <w:t>4931</w:t>
            </w:r>
          </w:p>
        </w:tc>
        <w:tc>
          <w:tcPr>
            <w:tcW w:w="1980" w:type="dxa"/>
          </w:tcPr>
          <w:p w:rsidR="00A16083" w:rsidRPr="00A16083" w:rsidRDefault="00A16083" w:rsidP="00A16083">
            <w:pPr>
              <w:spacing w:before="120"/>
              <w:jc w:val="right"/>
              <w:rPr>
                <w:szCs w:val="28"/>
              </w:rPr>
            </w:pPr>
            <w:r w:rsidRPr="00A16083">
              <w:rPr>
                <w:szCs w:val="28"/>
              </w:rPr>
              <w:t>2.197.811</w:t>
            </w:r>
          </w:p>
        </w:tc>
      </w:tr>
      <w:tr w:rsidR="00A16083" w:rsidTr="00B12647">
        <w:tc>
          <w:tcPr>
            <w:tcW w:w="720" w:type="dxa"/>
          </w:tcPr>
          <w:p w:rsidR="00A16083" w:rsidRPr="00A16083" w:rsidRDefault="00A16083" w:rsidP="00A16083">
            <w:pPr>
              <w:spacing w:before="120"/>
              <w:jc w:val="center"/>
              <w:rPr>
                <w:b/>
                <w:szCs w:val="28"/>
              </w:rPr>
            </w:pPr>
            <w:r w:rsidRPr="00A16083">
              <w:rPr>
                <w:b/>
                <w:szCs w:val="28"/>
              </w:rPr>
              <w:t>4</w:t>
            </w:r>
          </w:p>
        </w:tc>
        <w:tc>
          <w:tcPr>
            <w:tcW w:w="2609" w:type="dxa"/>
          </w:tcPr>
          <w:p w:rsidR="00A16083" w:rsidRPr="00A16083" w:rsidRDefault="00A16083" w:rsidP="00A16083">
            <w:pPr>
              <w:spacing w:before="120"/>
              <w:jc w:val="both"/>
              <w:rPr>
                <w:szCs w:val="28"/>
              </w:rPr>
            </w:pPr>
            <w:r w:rsidRPr="00A16083">
              <w:rPr>
                <w:szCs w:val="28"/>
              </w:rPr>
              <w:t>Tiền chập nộp</w:t>
            </w:r>
          </w:p>
        </w:tc>
        <w:tc>
          <w:tcPr>
            <w:tcW w:w="1711" w:type="dxa"/>
          </w:tcPr>
          <w:p w:rsidR="00A16083" w:rsidRPr="00A16083" w:rsidRDefault="00A16083" w:rsidP="00B12647">
            <w:pPr>
              <w:spacing w:before="120"/>
              <w:jc w:val="center"/>
              <w:rPr>
                <w:szCs w:val="28"/>
              </w:rPr>
            </w:pPr>
            <w:r w:rsidRPr="00A16083">
              <w:rPr>
                <w:szCs w:val="28"/>
              </w:rPr>
              <w:t>4944</w:t>
            </w:r>
          </w:p>
        </w:tc>
        <w:tc>
          <w:tcPr>
            <w:tcW w:w="1980" w:type="dxa"/>
          </w:tcPr>
          <w:p w:rsidR="00A16083" w:rsidRPr="00A16083" w:rsidRDefault="00A16083" w:rsidP="00A16083">
            <w:pPr>
              <w:spacing w:before="120"/>
              <w:jc w:val="right"/>
              <w:rPr>
                <w:szCs w:val="28"/>
              </w:rPr>
            </w:pPr>
            <w:r w:rsidRPr="00A16083">
              <w:rPr>
                <w:szCs w:val="28"/>
              </w:rPr>
              <w:t>14.400</w:t>
            </w:r>
          </w:p>
        </w:tc>
      </w:tr>
      <w:tr w:rsidR="00A16083" w:rsidTr="00B12647">
        <w:tc>
          <w:tcPr>
            <w:tcW w:w="720" w:type="dxa"/>
          </w:tcPr>
          <w:p w:rsidR="00A16083" w:rsidRPr="00A16083" w:rsidRDefault="00A16083" w:rsidP="00A16083">
            <w:pPr>
              <w:spacing w:before="120"/>
              <w:jc w:val="both"/>
              <w:rPr>
                <w:szCs w:val="28"/>
              </w:rPr>
            </w:pPr>
          </w:p>
        </w:tc>
        <w:tc>
          <w:tcPr>
            <w:tcW w:w="2609" w:type="dxa"/>
          </w:tcPr>
          <w:p w:rsidR="00A16083" w:rsidRPr="00A16083" w:rsidRDefault="00A16083" w:rsidP="00A16083">
            <w:pPr>
              <w:spacing w:before="120"/>
              <w:jc w:val="both"/>
              <w:rPr>
                <w:b/>
                <w:szCs w:val="28"/>
              </w:rPr>
            </w:pPr>
            <w:r w:rsidRPr="00A16083">
              <w:rPr>
                <w:b/>
                <w:szCs w:val="28"/>
              </w:rPr>
              <w:t>Tổng cộng</w:t>
            </w:r>
          </w:p>
        </w:tc>
        <w:tc>
          <w:tcPr>
            <w:tcW w:w="1711" w:type="dxa"/>
          </w:tcPr>
          <w:p w:rsidR="00A16083" w:rsidRPr="00A16083" w:rsidRDefault="00A16083" w:rsidP="00A16083">
            <w:pPr>
              <w:spacing w:before="120"/>
              <w:jc w:val="both"/>
              <w:rPr>
                <w:szCs w:val="28"/>
              </w:rPr>
            </w:pPr>
          </w:p>
        </w:tc>
        <w:tc>
          <w:tcPr>
            <w:tcW w:w="1980" w:type="dxa"/>
          </w:tcPr>
          <w:p w:rsidR="00A16083" w:rsidRPr="00B12647" w:rsidRDefault="00A16083" w:rsidP="00A16083">
            <w:pPr>
              <w:spacing w:before="120"/>
              <w:jc w:val="right"/>
              <w:rPr>
                <w:b/>
                <w:szCs w:val="28"/>
              </w:rPr>
            </w:pPr>
            <w:r w:rsidRPr="00B12647">
              <w:rPr>
                <w:b/>
                <w:szCs w:val="28"/>
              </w:rPr>
              <w:t>232.098.432</w:t>
            </w:r>
          </w:p>
        </w:tc>
      </w:tr>
    </w:tbl>
    <w:p w:rsidR="00B437D2" w:rsidRDefault="00B12647" w:rsidP="00A16083">
      <w:pPr>
        <w:spacing w:before="120" w:after="0" w:line="240" w:lineRule="auto"/>
        <w:ind w:firstLine="720"/>
        <w:jc w:val="both"/>
        <w:rPr>
          <w:szCs w:val="28"/>
        </w:rPr>
      </w:pPr>
      <w:r>
        <w:rPr>
          <w:szCs w:val="28"/>
        </w:rPr>
        <w:t xml:space="preserve">Như vậy, </w:t>
      </w:r>
      <w:r w:rsidR="00B437D2">
        <w:rPr>
          <w:szCs w:val="28"/>
        </w:rPr>
        <w:t xml:space="preserve">Công ty </w:t>
      </w:r>
      <w:r w:rsidR="00B437D2">
        <w:rPr>
          <w:szCs w:val="28"/>
        </w:rPr>
        <w:t>TNHH Xây dựng và Vận tải Cơ giới Duy Anh</w:t>
      </w:r>
      <w:r w:rsidR="00B437D2">
        <w:rPr>
          <w:szCs w:val="28"/>
        </w:rPr>
        <w:t xml:space="preserve"> chưa hoàn thành nghĩa vụ thuế với Ngân sách Nhà nước.</w:t>
      </w:r>
    </w:p>
    <w:p w:rsidR="00A16083" w:rsidRDefault="00B437D2" w:rsidP="00A16083">
      <w:pPr>
        <w:spacing w:before="120" w:after="0" w:line="240" w:lineRule="auto"/>
        <w:ind w:firstLine="720"/>
        <w:jc w:val="both"/>
        <w:rPr>
          <w:szCs w:val="28"/>
        </w:rPr>
      </w:pPr>
      <w:r>
        <w:rPr>
          <w:szCs w:val="28"/>
        </w:rPr>
        <w:t>Đối với ông Nguyễn Văn Thành, t</w:t>
      </w:r>
      <w:r w:rsidR="00B12647">
        <w:rPr>
          <w:szCs w:val="28"/>
        </w:rPr>
        <w:t>rường hợp ông cần văn bản xác nhận để nộp cho Chủ Đầu tư, đề nghị ông</w:t>
      </w:r>
      <w:r>
        <w:rPr>
          <w:szCs w:val="28"/>
        </w:rPr>
        <w:t>/Công ty</w:t>
      </w:r>
      <w:r w:rsidR="00B12647">
        <w:rPr>
          <w:szCs w:val="28"/>
        </w:rPr>
        <w:t xml:space="preserve"> gửi văn bản cụ thể đến Chi cục Thuế TP. Quy Nhơn theo Cổng giao tiếp điện tử </w:t>
      </w:r>
      <w:hyperlink r:id="rId4" w:history="1">
        <w:r w:rsidR="00B12647" w:rsidRPr="00DF5136">
          <w:rPr>
            <w:rStyle w:val="Hyperlink"/>
            <w:szCs w:val="28"/>
          </w:rPr>
          <w:t>www.quynhon.biditax.vn</w:t>
        </w:r>
      </w:hyperlink>
      <w:r>
        <w:rPr>
          <w:szCs w:val="28"/>
        </w:rPr>
        <w:t xml:space="preserve"> (bản scan)</w:t>
      </w:r>
      <w:r w:rsidR="00B12647">
        <w:rPr>
          <w:szCs w:val="28"/>
        </w:rPr>
        <w:t xml:space="preserve"> </w:t>
      </w:r>
      <w:r>
        <w:rPr>
          <w:szCs w:val="28"/>
        </w:rPr>
        <w:t xml:space="preserve">hoặc theo địa chỉ: Chi cục Thuế TP. Quy Nhơn, </w:t>
      </w:r>
      <w:r>
        <w:rPr>
          <w:szCs w:val="28"/>
        </w:rPr>
        <w:t>đường Điện Biên Phủ</w:t>
      </w:r>
      <w:r>
        <w:rPr>
          <w:szCs w:val="28"/>
        </w:rPr>
        <w:t xml:space="preserve">, P. Nhơn Bình, TP. Quy Nhơn. </w:t>
      </w:r>
    </w:p>
    <w:p w:rsidR="00B437D2" w:rsidRPr="00B12647" w:rsidRDefault="00B437D2" w:rsidP="00A16083">
      <w:pPr>
        <w:spacing w:before="120" w:after="0" w:line="240" w:lineRule="auto"/>
        <w:ind w:firstLine="720"/>
        <w:jc w:val="both"/>
        <w:rPr>
          <w:szCs w:val="28"/>
        </w:rPr>
      </w:pPr>
      <w:r>
        <w:rPr>
          <w:szCs w:val="28"/>
        </w:rPr>
        <w:t>Chi cục Thuế TP. Quy Nhơn trả lời để ông Nguyễn Văn Thành biết và thực hiện./.</w:t>
      </w:r>
      <w:bookmarkStart w:id="1" w:name="_GoBack"/>
      <w:bookmarkEnd w:id="1"/>
    </w:p>
    <w:p w:rsidR="00A16083" w:rsidRDefault="00A16083"/>
    <w:p w:rsidR="00A16083" w:rsidRDefault="00A16083"/>
    <w:p w:rsidR="00873FD0" w:rsidRDefault="00873FD0"/>
    <w:sectPr w:rsidR="00873F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D0"/>
    <w:rsid w:val="00575C2B"/>
    <w:rsid w:val="00873FD0"/>
    <w:rsid w:val="00A16083"/>
    <w:rsid w:val="00B12647"/>
    <w:rsid w:val="00B437D2"/>
    <w:rsid w:val="00D7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B712"/>
  <w15:chartTrackingRefBased/>
  <w15:docId w15:val="{F3B15A9B-FD1D-416F-865F-4A0AA8F4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ynhon.biditax.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Le Thi Tuyet Trinh (QNH-BDI)</dc:creator>
  <cp:keywords/>
  <dc:description/>
  <cp:lastModifiedBy>Trinh, Le Thi Tuyet Trinh (QNH-BDI)</cp:lastModifiedBy>
  <cp:revision>1</cp:revision>
  <dcterms:created xsi:type="dcterms:W3CDTF">2023-10-24T09:36:00Z</dcterms:created>
  <dcterms:modified xsi:type="dcterms:W3CDTF">2023-10-24T10:27:00Z</dcterms:modified>
</cp:coreProperties>
</file>